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E50" w:rsidRPr="00581E50" w:rsidRDefault="00581E50">
      <w:pPr>
        <w:rPr>
          <w:b/>
          <w:sz w:val="24"/>
          <w:szCs w:val="24"/>
        </w:rPr>
      </w:pPr>
      <w:r w:rsidRPr="00581E50">
        <w:rPr>
          <w:b/>
          <w:sz w:val="24"/>
          <w:szCs w:val="24"/>
        </w:rPr>
        <w:t xml:space="preserve">Zastosowanie nowoczesnych technologii w procesie edukacyjnym ucznia zdolnego – koncepcja rusztowań </w:t>
      </w:r>
    </w:p>
    <w:p w:rsidR="00581E50" w:rsidRDefault="00581E50" w:rsidP="00581E50">
      <w:pPr>
        <w:jc w:val="both"/>
        <w:rPr>
          <w:sz w:val="24"/>
          <w:szCs w:val="24"/>
        </w:rPr>
      </w:pPr>
      <w:r w:rsidRPr="00581E50">
        <w:rPr>
          <w:sz w:val="24"/>
          <w:szCs w:val="24"/>
        </w:rPr>
        <w:t>Zastanówmy się nad obiecującymi możliwościami zastosowań nowoczesnych technologii w procesie edukacyjnym ucznia zdolnego, które mają swoje źródło w koncepcji rusztowań. Osadzona w konstruktywistycznym podejściu do kształtowania kompetencji klasyczna koncepcja rusztowań (</w:t>
      </w:r>
      <w:proofErr w:type="spellStart"/>
      <w:r w:rsidRPr="00581E50">
        <w:rPr>
          <w:sz w:val="24"/>
          <w:szCs w:val="24"/>
        </w:rPr>
        <w:t>scaffolding</w:t>
      </w:r>
      <w:proofErr w:type="spellEnd"/>
      <w:r w:rsidRPr="00581E50">
        <w:rPr>
          <w:sz w:val="24"/>
          <w:szCs w:val="24"/>
        </w:rPr>
        <w:t xml:space="preserve">) została sformułowana przez Jerome Brunera przed narodzeniem komputera osobistego. Dlatego warto zacząć od jej adaptacji do warunków nauczania wspomaganego technologią informacyjną, dokonanej przez matematyka Bernharda </w:t>
      </w:r>
      <w:proofErr w:type="spellStart"/>
      <w:r w:rsidRPr="00581E50">
        <w:rPr>
          <w:sz w:val="24"/>
          <w:szCs w:val="24"/>
        </w:rPr>
        <w:t>Kutzlera</w:t>
      </w:r>
      <w:proofErr w:type="spellEnd"/>
      <w:r w:rsidRPr="00581E50">
        <w:rPr>
          <w:sz w:val="24"/>
          <w:szCs w:val="24"/>
        </w:rPr>
        <w:t xml:space="preserve"> niedawno – u schyłku poprzedniego stulecia, w czasie, kiedy w szkołach zaczęły się upowszechniać kalkulatory graficzne i komputery. U </w:t>
      </w:r>
      <w:proofErr w:type="spellStart"/>
      <w:r w:rsidRPr="00581E50">
        <w:rPr>
          <w:sz w:val="24"/>
          <w:szCs w:val="24"/>
        </w:rPr>
        <w:t>Kutzlera</w:t>
      </w:r>
      <w:proofErr w:type="spellEnd"/>
      <w:r w:rsidRPr="00581E50">
        <w:rPr>
          <w:sz w:val="24"/>
          <w:szCs w:val="24"/>
        </w:rPr>
        <w:t xml:space="preserve"> odpowiednio przygotowane oprogramowanie kalkulatora graficznego lub komputera spełnia rolę rusztowania wspomagającego lub zastępującego pewne elementy procesu rozumowania matematycznego: te, które z różnych przyczyn są mało istotne lub wręcz stanowią przeszkodę w konkretnej sytuacji dydaktycznej. Młody człowiek, szczególnie uzdolniony, uczący się metodą rusztowań może samodzielnie rozwiązywać stosunkowo skomplikowane problemy, przekraczając barierę własnej niekompetencji w zakresie niektórych koniecznych do wykonania operacji składowych dzięki temu, że wykonanie tych operacji zleca maszynie. W metodzie tej zasadnicze znaczenie </w:t>
      </w:r>
      <w:proofErr w:type="spellStart"/>
      <w:r w:rsidRPr="00581E50">
        <w:rPr>
          <w:sz w:val="24"/>
          <w:szCs w:val="24"/>
        </w:rPr>
        <w:t>Kutzler</w:t>
      </w:r>
      <w:proofErr w:type="spellEnd"/>
      <w:r w:rsidRPr="00581E50">
        <w:rPr>
          <w:sz w:val="24"/>
          <w:szCs w:val="24"/>
        </w:rPr>
        <w:t xml:space="preserve"> przypisał możliwości osiągania – dzięki wsparciu TIK – motywującego sukcesu oraz otwarciu nowych dróg rozwoju. Dziś </w:t>
      </w:r>
      <w:proofErr w:type="spellStart"/>
      <w:r w:rsidRPr="00581E50">
        <w:rPr>
          <w:sz w:val="24"/>
          <w:szCs w:val="24"/>
        </w:rPr>
        <w:t>Kutzler</w:t>
      </w:r>
      <w:proofErr w:type="spellEnd"/>
      <w:r w:rsidRPr="00581E50">
        <w:rPr>
          <w:sz w:val="24"/>
          <w:szCs w:val="24"/>
        </w:rPr>
        <w:t xml:space="preserve"> wpisuje do katalogu działań swojej metody rusztowań każdą pedagogicznie uzasadnioną sekwencję działań z komputerem dla celów trywializacji, eksperymentowania, wizualizacji, ułatwienia koncentracji albo dla automatyzacji lub kompensacji. To wymarzony sposób uczenia się zdolnych i rzeczywiste stwarzanie im w procesie dydaktycznym możliwości rozwoju. Najchętniej stosujemy (świadomie lub nieświadomie) klasyczną metodę Brunera: rusztowanie tworzy nauczyciel (upraszczając: pomaga lub zastępuje), ale celem ostatecznym jest usunięcie rusztowania i przejście ucznia od działania </w:t>
      </w:r>
      <w:proofErr w:type="spellStart"/>
      <w:r w:rsidRPr="00581E50">
        <w:rPr>
          <w:sz w:val="24"/>
          <w:szCs w:val="24"/>
        </w:rPr>
        <w:t>interpsychologicznego</w:t>
      </w:r>
      <w:proofErr w:type="spellEnd"/>
      <w:r w:rsidRPr="00581E50">
        <w:rPr>
          <w:sz w:val="24"/>
          <w:szCs w:val="24"/>
        </w:rPr>
        <w:t xml:space="preserve"> do działania </w:t>
      </w:r>
      <w:proofErr w:type="spellStart"/>
      <w:r w:rsidRPr="00581E50">
        <w:rPr>
          <w:sz w:val="24"/>
          <w:szCs w:val="24"/>
        </w:rPr>
        <w:t>intrapsychologicznego</w:t>
      </w:r>
      <w:proofErr w:type="spellEnd"/>
      <w:r w:rsidRPr="00581E50">
        <w:rPr>
          <w:sz w:val="24"/>
          <w:szCs w:val="24"/>
        </w:rPr>
        <w:t xml:space="preserve"> (upraszczając: usamodzielnienie). Mniej chętnie stosujemy podejście </w:t>
      </w:r>
      <w:proofErr w:type="spellStart"/>
      <w:r w:rsidRPr="00581E50">
        <w:rPr>
          <w:sz w:val="24"/>
          <w:szCs w:val="24"/>
        </w:rPr>
        <w:t>Kutzlera</w:t>
      </w:r>
      <w:proofErr w:type="spellEnd"/>
      <w:r w:rsidRPr="00581E50">
        <w:rPr>
          <w:sz w:val="24"/>
          <w:szCs w:val="24"/>
        </w:rPr>
        <w:t xml:space="preserve">, w którym rusztowaniem jest maszyna (komputer, program, Internet) wyręczająca ucznia w prostych wiadomościach i umiejętnościach. Mamy tendencję do przeceniania opanowywania ich “na wszelki wypadek”, zaś najpowszechniejszym uzasadnieniem są wizje (czasem całkiem apokaliptyczne) ewentualnych awarii komputerów, katastrof energetycznych etc. Brzmią one fałszywie w uszach uczniów doskonale wiedzących, że na cyfrowych technologiach opiera się dziś byt każdej liczącej się, nowoczesnej instytucji, włączając w to największe armie i banki. Największą bodaj nieufnością obdarzamy zatem trzecie podejście, w którym nie sposobem osiągania celów dydaktycznych, ale wręcz istotnym celem procesu nauczania staje się osiągnięcie przez uczącego się kompetencji samodzielnego budowania rusztowań nie po to, by je następnie likwidować, a więc nie po to, by nauczyć się tego, co może wykonać komputer. Przeciwnie – po to, by je samodzielnie budować oraz trwale i efektywnie stosować, a więc efektywniej skupiać się na tym, czego komputer wykonać nie może i co jest wyłączną domeną działalności ludzkiej. Trywializując, w tym ujęciu TIK „powinny wykonać za ucznia” ile się tylko da, by uczeń mógł się skupić na tych rodzajach aktywności, w których (przynajmniej na razie) nad komputerami górujemy. Przerzucanie na TIK pewnych obszarów aktywności może wyglądać bardzo różnorodnie. Poniżej wymieniono tylko wybrane, </w:t>
      </w:r>
      <w:r w:rsidRPr="00581E50">
        <w:rPr>
          <w:sz w:val="24"/>
          <w:szCs w:val="24"/>
        </w:rPr>
        <w:lastRenderedPageBreak/>
        <w:t xml:space="preserve">najczęściej stosowane w praktyce szkolnej. Warto mieć je na uwadze, pracując z uczniami zdolnymi. </w:t>
      </w:r>
    </w:p>
    <w:p w:rsidR="00581E50" w:rsidRDefault="00581E50" w:rsidP="00581E50">
      <w:pPr>
        <w:jc w:val="both"/>
        <w:rPr>
          <w:sz w:val="24"/>
          <w:szCs w:val="24"/>
        </w:rPr>
      </w:pPr>
      <w:r w:rsidRPr="00581E50">
        <w:rPr>
          <w:sz w:val="24"/>
          <w:szCs w:val="24"/>
        </w:rPr>
        <w:t xml:space="preserve">● Klasyczne zadania przetwarzania danych. Wyręczanie się komputerem w wykonywaniu żmudnych, czasochłonnych, mało twórczych czynności (włączając w to np. obliczenia matematyczne, operacje bazodanowe czy też przetwarzanie dużych ilości danych tekstowych). Spodziewane efekty: umożliwienie uczniom efektywniejszego rozwijania uzdolnień dzięki usunięciu z pola uwagi prostych, </w:t>
      </w:r>
      <w:proofErr w:type="spellStart"/>
      <w:r w:rsidRPr="00581E50">
        <w:rPr>
          <w:sz w:val="24"/>
          <w:szCs w:val="24"/>
        </w:rPr>
        <w:t>automatyzowalnych</w:t>
      </w:r>
      <w:proofErr w:type="spellEnd"/>
      <w:r w:rsidRPr="00581E50">
        <w:rPr>
          <w:sz w:val="24"/>
          <w:szCs w:val="24"/>
        </w:rPr>
        <w:t xml:space="preserve"> operacji manualnych lub intelektualnych i w efekcie ułatwieniu skupienia się na bardziej złożonych procesach intelektualnych. </w:t>
      </w:r>
    </w:p>
    <w:p w:rsidR="00581E50" w:rsidRDefault="00581E50" w:rsidP="00581E50">
      <w:pPr>
        <w:jc w:val="both"/>
        <w:rPr>
          <w:sz w:val="24"/>
          <w:szCs w:val="24"/>
        </w:rPr>
      </w:pPr>
      <w:r w:rsidRPr="00581E50">
        <w:rPr>
          <w:sz w:val="24"/>
          <w:szCs w:val="24"/>
        </w:rPr>
        <w:t>● Eksperymentowanie wspomagane komputerem. Mowa tu nie tylko o zaawansowanych komputerowych symulacjach zjawisk niedostępnych, trudno obserwowalnych lub niebezpiecznych. Należy wspomnieć także o wykonywanych za pomocą najprostszego oprogramowania eksperymentach typu „</w:t>
      </w:r>
      <w:proofErr w:type="spellStart"/>
      <w:r w:rsidRPr="00581E50">
        <w:rPr>
          <w:sz w:val="24"/>
          <w:szCs w:val="24"/>
        </w:rPr>
        <w:t>what-if</w:t>
      </w:r>
      <w:proofErr w:type="spellEnd"/>
      <w:r w:rsidRPr="00581E50">
        <w:rPr>
          <w:sz w:val="24"/>
          <w:szCs w:val="24"/>
        </w:rPr>
        <w:t xml:space="preserve">” („co będzie, jeżeli”) polegających na bezpiecznym obserwowaniu wyników dla rozmaitych danych. Spodziewane efekty: ułatwienie bezpiecznego i szybkiego eksperymentowania, zmotywowanie do eksperymentowania, rozwijania myślenia </w:t>
      </w:r>
      <w:proofErr w:type="spellStart"/>
      <w:r w:rsidRPr="00581E50">
        <w:rPr>
          <w:sz w:val="24"/>
          <w:szCs w:val="24"/>
        </w:rPr>
        <w:t>dywergencyjnego</w:t>
      </w:r>
      <w:proofErr w:type="spellEnd"/>
      <w:r w:rsidRPr="00581E50">
        <w:rPr>
          <w:sz w:val="24"/>
          <w:szCs w:val="24"/>
        </w:rPr>
        <w:t xml:space="preserve">, bardzo obiecującego w pobudzaniu kreatywności i badań uczniowskich. </w:t>
      </w:r>
    </w:p>
    <w:p w:rsidR="00581E50" w:rsidRDefault="00581E50" w:rsidP="00581E50">
      <w:pPr>
        <w:jc w:val="both"/>
        <w:rPr>
          <w:sz w:val="24"/>
          <w:szCs w:val="24"/>
        </w:rPr>
      </w:pPr>
      <w:r w:rsidRPr="00581E50">
        <w:rPr>
          <w:sz w:val="24"/>
          <w:szCs w:val="24"/>
        </w:rPr>
        <w:t xml:space="preserve">● Przeglądy cudzych dokonań w dziedzinie, którą chcemy się zająć. Chodzi zarówno o należącą do kanonu działań badawczych kwerendę „dorosłych” źródeł, piśmiennictwa, wyników badań </w:t>
      </w:r>
      <w:proofErr w:type="spellStart"/>
      <w:r w:rsidRPr="00581E50">
        <w:rPr>
          <w:sz w:val="24"/>
          <w:szCs w:val="24"/>
        </w:rPr>
        <w:t>etc</w:t>
      </w:r>
      <w:proofErr w:type="spellEnd"/>
      <w:r w:rsidRPr="00581E50">
        <w:rPr>
          <w:sz w:val="24"/>
          <w:szCs w:val="24"/>
        </w:rPr>
        <w:t xml:space="preserve">, jak też zbadanie efektów aktywności innych uczniów (także z innych krajów), którzy zajmują się lub zajmowali podobną Ośrodek Rozwoju Edukacji Str. 20 Internetowe Czasopismo Edukacyjne nr 1/2011 działalnością, innych projektów edukacyjnych o podobnej tematyce, ich przebiegu i efektów. Spodziewane efekty: kształtowanie koniecznych w rozwijaniu uzdolnień umiejętności efektywnego korzystania z różnych źródeł informacji, triangulacji źródeł, motywowanie poprzez przykłady dobrych praktyk. </w:t>
      </w:r>
    </w:p>
    <w:p w:rsidR="00581E50" w:rsidRDefault="00581E50" w:rsidP="00581E50">
      <w:pPr>
        <w:jc w:val="both"/>
        <w:rPr>
          <w:sz w:val="24"/>
          <w:szCs w:val="24"/>
        </w:rPr>
      </w:pPr>
      <w:r w:rsidRPr="00581E50">
        <w:rPr>
          <w:sz w:val="24"/>
          <w:szCs w:val="24"/>
        </w:rPr>
        <w:t xml:space="preserve">● Badanie kto oprócz nas zajmuje się lub zajmował podobną dziedziną wiedzy lub rodzajem aktywności. Badanie losów, przejawów aktywności osób zainteresowanych podobną problematyką może i powinno owocować np. współpracą zdalną z rówieśnikami, tworzeniem czasem bardzo ciekawych i egzotycznych zespołów badawczych, mikrospołeczności fanów tego samego problemu etc. Duży potencjał motywacyjny ma także możliwość uzyskania informacji zwrotnej od autorytetów w danej dziedzinie, czasem nawet autorów jakiejś konkretnej teorii, wynalazku etc. Wydaje się to być całkiem realne. Spodziewane efekty: pobudzanie motywacji do rozwijania uzdolnień poprzez przykłady dobrych praktyk oraz ambitne, lecz realne wzorce osobowe. </w:t>
      </w:r>
    </w:p>
    <w:p w:rsidR="00581E50" w:rsidRDefault="00581E50" w:rsidP="00581E50">
      <w:pPr>
        <w:jc w:val="both"/>
        <w:rPr>
          <w:sz w:val="24"/>
          <w:szCs w:val="24"/>
        </w:rPr>
      </w:pPr>
      <w:r w:rsidRPr="00581E50">
        <w:rPr>
          <w:sz w:val="24"/>
          <w:szCs w:val="24"/>
        </w:rPr>
        <w:t xml:space="preserve">● Poddanie własnej działalności publicznej ocenie i krytyce w trakcie procesu uczenia się, nie zaś tylko jako zwieńczenie sukcesu. Ten obszar jest w szkole wyjątkowo zaniedbany: szkoła promuje i premiuje bezbłędne rozwiązania i słuszne wyniki, natomiast znacznie gorzej radzi sobie z czerpaniem sukcesu z „siły błądzenia”. Błąd wciąż jest w szkole czarnym charakterem, przypadłością, którą należy usunąć jak najszybciej, więc – najchętniej ukryć. W efekcie powszechnie wzbraniamy się przed publicznym udostępnianiem prac w trakcie tworzenia – jeszcze niegotowych, niekompletnych, zawierających błędy. A przecież dziś spore grono </w:t>
      </w:r>
      <w:r w:rsidRPr="00581E50">
        <w:rPr>
          <w:sz w:val="24"/>
          <w:szCs w:val="24"/>
        </w:rPr>
        <w:lastRenderedPageBreak/>
        <w:t xml:space="preserve">profesjonalistów, twórców, naukowców, chętnie publikuje tzw. drafty swoich prac, publikacji, badań – właśnie po to, by uzyskać jeszcze na etapie tworzenia recenzje, krytykę, wsparcie, pozyskać nowe pomysły i punkty widzenia, argumentację do obrony, wreszcie by </w:t>
      </w:r>
      <w:proofErr w:type="spellStart"/>
      <w:r w:rsidRPr="00581E50">
        <w:rPr>
          <w:sz w:val="24"/>
          <w:szCs w:val="24"/>
        </w:rPr>
        <w:t>doskonalej</w:t>
      </w:r>
      <w:proofErr w:type="spellEnd"/>
      <w:r w:rsidRPr="00581E50">
        <w:rPr>
          <w:sz w:val="24"/>
          <w:szCs w:val="24"/>
        </w:rPr>
        <w:t xml:space="preserve"> usunąć błędy. Tak pracują przyszli naukowcy, a obecni uczniowie. Badają, doświadczają, konstruują i wymyślają, popełniając błędy. Często metoda prób i błędów skutkuje nowym odkryciem w jakiejś dziedzinie nauki. Spodziewane efekty: pobudzanie motywacji do systematycznego rozwijania uzdolnień dzięki kształtującej ocenie ze strony szeroko rozumianego środowiska uczniów, także pozaszkolnego; rozwijanie kreatywności i podwyższenie prawdopodobieństwa sukcesu dzięki szansie obniżenia strachu przed popełnianiem błędów na rzecz radości ich rozwiązywania; potwierdzenie wartości własnej i wartości swoich dokonań dzięki otrzymanym z zewnątrz recenzjom i komentarzom. </w:t>
      </w:r>
    </w:p>
    <w:p w:rsidR="00581E50" w:rsidRDefault="00581E50" w:rsidP="00581E50">
      <w:pPr>
        <w:jc w:val="both"/>
        <w:rPr>
          <w:sz w:val="24"/>
          <w:szCs w:val="24"/>
        </w:rPr>
      </w:pPr>
      <w:r w:rsidRPr="00581E50">
        <w:rPr>
          <w:sz w:val="24"/>
          <w:szCs w:val="24"/>
        </w:rPr>
        <w:t xml:space="preserve">● Zarządzanie własnym rozwojem i jego efektami. Ten ostatni obszar jest niezmiernie ważny, wręcz kluczowy. Niestety z uwagi na rozciągłość czasową, charakter między-, ponad- i </w:t>
      </w:r>
      <w:proofErr w:type="spellStart"/>
      <w:r w:rsidRPr="00581E50">
        <w:rPr>
          <w:sz w:val="24"/>
          <w:szCs w:val="24"/>
        </w:rPr>
        <w:t>pozaprzedmiotowy</w:t>
      </w:r>
      <w:proofErr w:type="spellEnd"/>
      <w:r w:rsidRPr="00581E50">
        <w:rPr>
          <w:sz w:val="24"/>
          <w:szCs w:val="24"/>
        </w:rPr>
        <w:t xml:space="preserve"> oraz poziom koniecznej indywidualizacji, niełatwy w warunkach naszej szkoły: sztywno poszatkowanej wzdłuż, w poprzek i w pionie na lekcje, semestry, klasy, przedmioty etc. Obiecującym i całościowym rozwiązaniem metodycznym z dziedziny nowoczesnej pedagogiki i jednocześnie nowoczesnych technologii informacyjno-komunikacyjnych jest tu uczniowskie e-portfolio</w:t>
      </w:r>
      <w:r>
        <w:rPr>
          <w:sz w:val="24"/>
          <w:szCs w:val="24"/>
        </w:rPr>
        <w:t xml:space="preserve">. </w:t>
      </w:r>
      <w:r w:rsidRPr="00581E50">
        <w:rPr>
          <w:sz w:val="24"/>
          <w:szCs w:val="24"/>
        </w:rPr>
        <w:t>Wspomnieć wypada, że e-portfolio traktowane jednocześnie jako wysoko motywacyjna metoda oceniania, metoda nauczania i wspierania własnego rozwoju ucznia daje najbardziej spektakularne efekty w sytuacjach najbardziej odbiegających od standardowego procesu dydaktyki szkolnej. Do takich sytuacji należy praca z uczniami o specjalnych uzdolnieniach. Spodziewane efekty: charakterystyczne dla metody e-portfolio otwarcie drogi nieskrępowanego szkolnymi ramami rozwoju uzdolnień, rozwój samosterowności – umiejętności samodzielnego planowania rozwoju osobistego oraz wewnętrznej motywacji.</w:t>
      </w:r>
    </w:p>
    <w:p w:rsidR="00581E50" w:rsidRPr="00581E50" w:rsidRDefault="00581E50" w:rsidP="00581E50">
      <w:pPr>
        <w:rPr>
          <w:sz w:val="24"/>
          <w:szCs w:val="24"/>
        </w:rPr>
      </w:pPr>
      <w:r>
        <w:rPr>
          <w:sz w:val="24"/>
          <w:szCs w:val="24"/>
        </w:rPr>
        <w:t xml:space="preserve">Źródło: </w:t>
      </w:r>
      <w:hyperlink r:id="rId4" w:history="1">
        <w:r>
          <w:rPr>
            <w:rStyle w:val="Hipercze"/>
          </w:rPr>
          <w:t>http://www.bc.ore.edu.pl/Content/431/Trendy_nr1_2011_Lechos%C5%82aw+Hojnacki.pdf</w:t>
        </w:r>
      </w:hyperlink>
      <w:r>
        <w:t xml:space="preserve"> (dostęp na dzień 2.04.2019 r.)</w:t>
      </w:r>
      <w:bookmarkStart w:id="0" w:name="_GoBack"/>
      <w:bookmarkEnd w:id="0"/>
    </w:p>
    <w:sectPr w:rsidR="00581E50" w:rsidRPr="00581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50"/>
    <w:rsid w:val="0058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4B60"/>
  <w15:chartTrackingRefBased/>
  <w15:docId w15:val="{E9FBF127-A0AF-4B1D-A59B-50A00E07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81E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c.ore.edu.pl/Content/431/Trendy_nr1_2011_Lechos%C5%82aw+Hojnacki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1305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 Ra</dc:creator>
  <cp:keywords/>
  <dc:description/>
  <cp:lastModifiedBy>Margo Ra</cp:lastModifiedBy>
  <cp:revision>1</cp:revision>
  <dcterms:created xsi:type="dcterms:W3CDTF">2019-04-04T11:38:00Z</dcterms:created>
  <dcterms:modified xsi:type="dcterms:W3CDTF">2019-04-04T11:43:00Z</dcterms:modified>
</cp:coreProperties>
</file>